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520451</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5"/>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D19297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this topic</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1391E22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of the objectives is to define necessary RRM requirement for specified LCM procedures. The discussion and agreements on LCM in Rel-19 can be used as reference. Below is summary of Rel-19 agreements on LCM.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9B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9047EF6">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on LCM in Rel-19</w:t>
            </w:r>
          </w:p>
          <w:p w14:paraId="6EA7A7FB">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RAN4#111 meeting (</w:t>
            </w:r>
            <w:r>
              <w:rPr>
                <w:rFonts w:hint="default" w:ascii="Times New Roman" w:hAnsi="Times New Roman" w:eastAsia="游明朝" w:cs="Times New Roman"/>
                <w:b/>
                <w:bCs/>
                <w:sz w:val="20"/>
                <w:szCs w:val="20"/>
                <w:u w:val="single"/>
                <w:lang w:eastAsia="zh-CN"/>
              </w:rPr>
              <w:t>240</w:t>
            </w:r>
            <w:r>
              <w:rPr>
                <w:rFonts w:hint="default" w:ascii="Times New Roman" w:hAnsi="Times New Roman" w:eastAsia="游明朝" w:cs="Times New Roman"/>
                <w:b/>
                <w:bCs/>
                <w:sz w:val="20"/>
                <w:szCs w:val="20"/>
                <w:u w:val="single"/>
                <w:lang w:eastAsia="ja-JP"/>
              </w:rPr>
              <w:t>1570</w:t>
            </w:r>
            <w:r>
              <w:rPr>
                <w:rFonts w:hint="default" w:ascii="Times New Roman" w:hAnsi="Times New Roman" w:cs="Times New Roman"/>
                <w:b/>
                <w:bCs/>
                <w:sz w:val="20"/>
                <w:szCs w:val="20"/>
                <w:u w:val="single"/>
                <w:lang w:val="en-US" w:eastAsia="zh-CN"/>
              </w:rPr>
              <w:t>)</w:t>
            </w:r>
          </w:p>
          <w:p w14:paraId="30C1829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1-5: </w:t>
            </w:r>
            <w:r>
              <w:rPr>
                <w:rFonts w:hint="default" w:ascii="Times New Roman" w:hAnsi="Times New Roman" w:eastAsia="游明朝" w:cs="Times New Roman"/>
                <w:b w:val="0"/>
                <w:bCs w:val="0"/>
                <w:sz w:val="20"/>
                <w:szCs w:val="20"/>
                <w:u w:val="single"/>
                <w:lang w:eastAsia="ja-JP"/>
              </w:rPr>
              <w:t>LCM Requirements</w:t>
            </w:r>
            <w:r>
              <w:rPr>
                <w:rFonts w:hint="default" w:ascii="Times New Roman" w:hAnsi="Times New Roman" w:cs="Times New Roman"/>
                <w:b w:val="0"/>
                <w:bCs w:val="0"/>
                <w:sz w:val="20"/>
                <w:szCs w:val="20"/>
                <w:u w:val="single"/>
                <w:lang w:eastAsia="ko-KR"/>
              </w:rPr>
              <w:t xml:space="preserve"> </w:t>
            </w:r>
          </w:p>
          <w:p w14:paraId="0ABAF5EE">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1796B9A">
            <w:pPr>
              <w:pStyle w:val="15"/>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14:paraId="6A21B900">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14:paraId="2AC32ED6">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14:paraId="1CE8888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14:paraId="1FCB8DF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14:paraId="5F134461">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14:paraId="013327CA">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14:paraId="228A2F1A">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14:paraId="32AFDE2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u w:val="single"/>
                <w:lang w:val="en-US" w:eastAsia="zh-CN"/>
              </w:rPr>
            </w:pPr>
            <w:r>
              <w:rPr>
                <w:rFonts w:hint="default" w:ascii="Times New Roman" w:hAnsi="Times New Roman" w:eastAsia="游明朝" w:cs="Times New Roman"/>
                <w:b w:val="0"/>
                <w:bCs w:val="0"/>
                <w:sz w:val="20"/>
                <w:szCs w:val="20"/>
                <w:lang w:eastAsia="ja-JP"/>
              </w:rPr>
              <w:t>Others are not precluded</w:t>
            </w:r>
          </w:p>
          <w:p w14:paraId="4F938555">
            <w:pPr>
              <w:pStyle w:val="15"/>
              <w:numPr>
                <w:ilvl w:val="0"/>
                <w:numId w:val="0"/>
              </w:numPr>
              <w:overflowPunct w:val="0"/>
              <w:autoSpaceDE w:val="0"/>
              <w:autoSpaceDN w:val="0"/>
              <w:adjustRightInd w:val="0"/>
              <w:spacing w:after="120"/>
              <w:ind w:left="576" w:leftChars="0"/>
              <w:textAlignment w:val="baseline"/>
              <w:rPr>
                <w:rFonts w:hint="default" w:ascii="Times New Roman" w:hAnsi="Times New Roman" w:cs="Times New Roman"/>
                <w:b w:val="0"/>
                <w:bCs w:val="0"/>
                <w:sz w:val="20"/>
                <w:szCs w:val="20"/>
                <w:u w:val="single"/>
                <w:lang w:val="en-US" w:eastAsia="zh-CN"/>
              </w:rPr>
            </w:pPr>
          </w:p>
          <w:p w14:paraId="76E105A1">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RAN4#114bis meeting (R4-2505107)</w:t>
            </w:r>
          </w:p>
          <w:p w14:paraId="7379B20A">
            <w:pPr>
              <w:bidi w:val="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rPr>
              <w:t>Delay requirements for activation/switching/fallback</w:t>
            </w:r>
          </w:p>
          <w:p w14:paraId="7428DDE0">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5ED4C7EB">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RAN4 has the following understanding and need further check whether the understanding is aligned with RAN1 and RAN2:</w:t>
            </w:r>
          </w:p>
          <w:p w14:paraId="240671CB">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AI/ML functionality activation refers to the process of enabling an applicable functionality to perform inference</w:t>
            </w:r>
          </w:p>
          <w:p w14:paraId="2648300C">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functionality deactivation refers to the process of network deactivating an active functionality</w:t>
            </w:r>
          </w:p>
          <w:p w14:paraId="3A67F1C9">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40B3730D">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whether the deactivation requirements will be introduced</w:t>
            </w:r>
          </w:p>
          <w:p w14:paraId="3F519B0E">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The starting point is when the UE receives the signalling to commence deactivation</w:t>
            </w:r>
          </w:p>
          <w:p w14:paraId="38B6400D">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when the endpoint for deactivation is</w:t>
            </w:r>
          </w:p>
          <w:p w14:paraId="42C41601">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whether fallback delay is the same as deactivation delay or has some other components</w:t>
            </w:r>
          </w:p>
          <w:p w14:paraId="778CF1B0">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7520D828">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For beam management use case</w:t>
            </w:r>
          </w:p>
          <w:p w14:paraId="0811740A">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defining the functionality activation delay requirements for the first periodic and semi-persistant reporting based on AI/ML</w:t>
            </w:r>
          </w:p>
          <w:p w14:paraId="209D60B4">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Define functionality activation delay requirement for the first aperiodic reporting based on AI/ML</w:t>
            </w:r>
          </w:p>
          <w:p w14:paraId="50938E4A">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the definition of first reporting</w:t>
            </w:r>
          </w:p>
          <w:p w14:paraId="69FB1633">
            <w:pPr>
              <w:spacing w:after="120" w:afterLines="50"/>
              <w:rPr>
                <w:rFonts w:hint="default" w:ascii="Times New Roman" w:hAnsi="Times New Roman" w:cs="Times New Roman"/>
                <w:b w:val="0"/>
                <w:bCs w:val="0"/>
                <w:sz w:val="20"/>
                <w:szCs w:val="20"/>
                <w:u w:val="single"/>
                <w:lang w:eastAsia="zh-CN"/>
              </w:rPr>
            </w:pPr>
          </w:p>
          <w:p w14:paraId="37954102">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RAN4#115 meeting (R4-2508051)</w:t>
            </w:r>
          </w:p>
          <w:p w14:paraId="6AA6A43E">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Activation delay:</w:t>
            </w:r>
          </w:p>
          <w:p w14:paraId="421BD3CA">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Activation delay requirements created for the periodic, semi-persistent and aperiodic CSI reporting for beam prediction </w:t>
            </w:r>
          </w:p>
          <w:p w14:paraId="4098BA89">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It is FFS for CSI prediction</w:t>
            </w:r>
          </w:p>
          <w:p w14:paraId="26BEBDB0">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For Option A, RAN4 will send LS to RAN2 to clarify the related mechanism. </w:t>
            </w:r>
          </w:p>
          <w:p w14:paraId="7E7FC314">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For semi-persistent CSI reporting</w:t>
            </w:r>
          </w:p>
          <w:p w14:paraId="066BD4AC">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Activation delay starts at the reception of the MAC-CE/DCI</w:t>
            </w:r>
          </w:p>
          <w:p w14:paraId="71CA8E71">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For aperiodic CSI reporting</w:t>
            </w:r>
          </w:p>
          <w:p w14:paraId="02C77B97">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Activation delay starts at the reception of the DCI</w:t>
            </w:r>
          </w:p>
          <w:p w14:paraId="1205A496">
            <w:pPr>
              <w:pStyle w:val="23"/>
              <w:ind w:left="0" w:firstLine="0"/>
              <w:rPr>
                <w:rFonts w:hint="default" w:ascii="Times New Roman" w:hAnsi="Times New Roman" w:cs="Times New Roman"/>
                <w:b w:val="0"/>
                <w:bCs w:val="0"/>
                <w:sz w:val="20"/>
                <w:szCs w:val="20"/>
                <w:lang w:eastAsia="zh-CN"/>
              </w:rPr>
            </w:pPr>
          </w:p>
          <w:p w14:paraId="7E1CB1D0">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Switching delay and Fallback delay:</w:t>
            </w:r>
          </w:p>
          <w:p w14:paraId="43311E08">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Deprioritize the discussion on switching and fallback delay requirements and focus on activation/deactivation delay requirement, including both AI/nonAI, discussion. </w:t>
            </w:r>
          </w:p>
          <w:p w14:paraId="56FB9D9C">
            <w:pPr>
              <w:pStyle w:val="23"/>
              <w:rPr>
                <w:rFonts w:hint="default" w:ascii="Times New Roman" w:hAnsi="Times New Roman" w:cs="Times New Roman"/>
                <w:b w:val="0"/>
                <w:bCs w:val="0"/>
                <w:sz w:val="20"/>
                <w:szCs w:val="20"/>
                <w:lang w:eastAsia="zh-CN"/>
              </w:rPr>
            </w:pPr>
          </w:p>
          <w:p w14:paraId="3E47D286">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Monitoring reporting delay and accuracy:</w:t>
            </w:r>
          </w:p>
          <w:p w14:paraId="6B6F1481">
            <w:pPr>
              <w:pStyle w:val="23"/>
              <w:ind w:left="284"/>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Discuss how to define delay and accuracy requirements for UE sided monitoring where the UE reports the metric:</w:t>
            </w:r>
          </w:p>
          <w:p w14:paraId="1F727A33">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BM-Case1 and possibly BM-Case 2</w:t>
            </w:r>
          </w:p>
          <w:p w14:paraId="05C6A835">
            <w:pPr>
              <w:pStyle w:val="23"/>
              <w:ind w:left="852"/>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w:t>
            </w:r>
            <w:r>
              <w:rPr>
                <w:rFonts w:hint="default" w:ascii="Times New Roman" w:hAnsi="Times New Roman" w:cs="Times New Roman"/>
                <w:b w:val="0"/>
                <w:bCs w:val="0"/>
                <w:sz w:val="20"/>
                <w:szCs w:val="20"/>
                <w:lang w:eastAsia="zh-CN"/>
              </w:rPr>
              <w:tab/>
            </w:r>
            <w:r>
              <w:rPr>
                <w:rFonts w:hint="default" w:ascii="Times New Roman" w:hAnsi="Times New Roman" w:cs="Times New Roman"/>
                <w:b w:val="0"/>
                <w:bCs w:val="0"/>
                <w:sz w:val="20"/>
                <w:szCs w:val="20"/>
                <w:lang w:eastAsia="zh-CN"/>
              </w:rPr>
              <w:t>Performance monitoring type 1 option 2</w:t>
            </w:r>
          </w:p>
          <w:p w14:paraId="312FBD24">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If it proves to be not possible to define, then reverse the agreement</w:t>
            </w:r>
          </w:p>
          <w:p w14:paraId="0F77D749">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Note: For BM-Case2, it may not be completed in Rel-19. If it is not covered in Rel-19, there would not be a monitoring delay requirement. If it would be in Rel-19, a monitoring delay requirement is needed.</w:t>
            </w:r>
          </w:p>
          <w:p w14:paraId="038AD0C2">
            <w:pPr>
              <w:pStyle w:val="23"/>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 </w:t>
            </w:r>
          </w:p>
          <w:p w14:paraId="7F774FA8">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CSI prediction:</w:t>
            </w:r>
          </w:p>
          <w:p w14:paraId="33167AC0">
            <w:pPr>
              <w:pStyle w:val="23"/>
              <w:numPr>
                <w:ilvl w:val="0"/>
                <w:numId w:val="11"/>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CSI prediction, the details are subject to RAN1 decision</w:t>
            </w:r>
          </w:p>
          <w:p w14:paraId="269F6134">
            <w:pPr>
              <w:pStyle w:val="23"/>
              <w:numPr>
                <w:ilvl w:val="0"/>
                <w:numId w:val="12"/>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RAN4 will further study the feasibility to specify the corresponding delay and/or accuracy requirements for UE sided monitoring</w:t>
            </w:r>
          </w:p>
          <w:p w14:paraId="273BC2C3">
            <w:pPr>
              <w:spacing w:after="120" w:afterLines="50"/>
              <w:rPr>
                <w:rFonts w:hint="default" w:ascii="Times New Roman" w:hAnsi="Times New Roman" w:cs="Times New Roman"/>
                <w:b w:val="0"/>
                <w:bCs w:val="0"/>
                <w:sz w:val="20"/>
                <w:szCs w:val="20"/>
                <w:u w:val="single"/>
                <w:lang w:eastAsia="zh-CN"/>
              </w:rPr>
            </w:pPr>
          </w:p>
          <w:p w14:paraId="09D385AA">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RAN4#116 meeting (R4-25</w:t>
            </w:r>
            <w:r>
              <w:rPr>
                <w:rFonts w:hint="default" w:ascii="Times New Roman" w:hAnsi="Times New Roman" w:cs="Times New Roman"/>
                <w:b/>
                <w:bCs/>
                <w:sz w:val="20"/>
                <w:szCs w:val="20"/>
                <w:u w:val="single"/>
                <w:lang w:val="en-US" w:eastAsia="ja-JP"/>
              </w:rPr>
              <w:t>11890</w:t>
            </w:r>
            <w:r>
              <w:rPr>
                <w:rFonts w:hint="default" w:ascii="Times New Roman" w:hAnsi="Times New Roman" w:cs="Times New Roman"/>
                <w:b/>
                <w:bCs/>
                <w:sz w:val="20"/>
                <w:szCs w:val="20"/>
                <w:u w:val="single"/>
                <w:lang w:val="en-US" w:eastAsia="zh-CN"/>
              </w:rPr>
              <w:t xml:space="preserve"> &amp; R4-2511849)</w:t>
            </w:r>
          </w:p>
          <w:p w14:paraId="77E5C945">
            <w:pPr>
              <w:spacing w:after="120" w:afterLines="5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General LCM principles:</w:t>
            </w:r>
          </w:p>
          <w:p w14:paraId="020D926A">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4AE1A79">
            <w:pPr>
              <w:pStyle w:val="15"/>
              <w:numPr>
                <w:ilvl w:val="0"/>
                <w:numId w:val="7"/>
              </w:numPr>
              <w:overflowPunct/>
              <w:autoSpaceDE/>
              <w:autoSpaceDN/>
              <w:adjustRightInd/>
              <w:spacing w:after="120"/>
              <w:ind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14:paraId="4A9710B6">
            <w:pPr>
              <w:spacing w:after="120" w:afterLines="5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LCM for beam management:</w:t>
            </w:r>
          </w:p>
          <w:p w14:paraId="0366027D">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09B7BD7A">
            <w:pPr>
              <w:pStyle w:val="15"/>
              <w:numPr>
                <w:ilvl w:val="0"/>
                <w:numId w:val="7"/>
              </w:numPr>
              <w:overflowPunct/>
              <w:autoSpaceDE/>
              <w:adjustRightInd/>
              <w:spacing w:after="120"/>
              <w:ind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cs="Times New Roman"/>
                <w:b w:val="0"/>
                <w:bCs w:val="0"/>
                <w:sz w:val="20"/>
                <w:szCs w:val="20"/>
              </w:rPr>
              <w:t>Do not define performance monitoring delay requirements for LCM purpose</w:t>
            </w:r>
          </w:p>
          <w:p w14:paraId="3799E479">
            <w:pPr>
              <w:pStyle w:val="15"/>
              <w:numPr>
                <w:ilvl w:val="1"/>
                <w:numId w:val="7"/>
              </w:numPr>
              <w:overflowPunct/>
              <w:autoSpaceDE/>
              <w:adjustRightInd/>
              <w:spacing w:after="120"/>
              <w:ind w:firstLineChars="0"/>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rPr>
              <w:t xml:space="preserve">If the monitoring delay is identificated as critical in the future, this issue can be revisited. </w:t>
            </w:r>
          </w:p>
          <w:p w14:paraId="65BA4A37">
            <w:pPr>
              <w:pStyle w:val="23"/>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No agreements on performance monitoring accuracy.</w:t>
            </w:r>
          </w:p>
          <w:p w14:paraId="29A62103">
            <w:pPr>
              <w:spacing w:after="180" w:line="240" w:lineRule="exact"/>
              <w:rPr>
                <w:rFonts w:hint="default" w:ascii="Times New Roman" w:hAnsi="Times New Roman" w:eastAsia="宋体" w:cs="Times New Roman"/>
                <w:b w:val="0"/>
                <w:bCs w:val="0"/>
                <w:iCs/>
                <w:sz w:val="20"/>
                <w:szCs w:val="20"/>
                <w:vertAlign w:val="baseline"/>
                <w:lang w:val="en-US" w:eastAsia="zh-CN"/>
              </w:rPr>
            </w:pPr>
          </w:p>
          <w:p w14:paraId="78A0CCEC">
            <w:pPr>
              <w:spacing w:after="180" w:line="240" w:lineRule="exact"/>
              <w:rPr>
                <w:rFonts w:hint="default" w:ascii="Times New Roman" w:hAnsi="Times New Roman" w:eastAsia="宋体" w:cs="Times New Roman"/>
                <w:b w:val="0"/>
                <w:bCs w:val="0"/>
                <w:iCs/>
                <w:sz w:val="20"/>
                <w:szCs w:val="20"/>
                <w:vertAlign w:val="baseline"/>
                <w:lang w:val="en-US" w:eastAsia="zh-CN"/>
              </w:rPr>
            </w:pPr>
            <w:r>
              <w:rPr>
                <w:rFonts w:hint="default" w:ascii="Times New Roman" w:hAnsi="Times New Roman" w:eastAsia="宋体" w:cs="Times New Roman"/>
                <w:b w:val="0"/>
                <w:bCs w:val="0"/>
                <w:iCs/>
                <w:sz w:val="20"/>
                <w:szCs w:val="20"/>
                <w:vertAlign w:val="baseline"/>
                <w:lang w:val="en-US" w:eastAsia="zh-CN"/>
              </w:rPr>
              <w:t>RRM core requirement and testing framework for beam management</w:t>
            </w:r>
          </w:p>
          <w:p w14:paraId="797826CA">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2-</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Activation delay</w:t>
            </w:r>
          </w:p>
          <w:p w14:paraId="1175153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53BC7065">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14:paraId="7F30A51C">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14:paraId="083B1BE3">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This applies to all reporting schemes</w:t>
            </w:r>
          </w:p>
          <w:p w14:paraId="76D05E40">
            <w:pPr>
              <w:spacing w:after="180" w:line="240" w:lineRule="exact"/>
              <w:rPr>
                <w:rFonts w:hint="default" w:ascii="Times New Roman" w:hAnsi="Times New Roman" w:eastAsia="宋体" w:cs="Times New Roman"/>
                <w:b w:val="0"/>
                <w:bCs w:val="0"/>
                <w:iCs/>
                <w:sz w:val="20"/>
                <w:szCs w:val="20"/>
                <w:vertAlign w:val="baseline"/>
                <w:lang w:val="en-US" w:eastAsia="zh-CN"/>
              </w:rPr>
            </w:pPr>
          </w:p>
        </w:tc>
      </w:tr>
    </w:tbl>
    <w:p w14:paraId="5272AD68">
      <w:pPr>
        <w:spacing w:after="180" w:line="240" w:lineRule="exact"/>
        <w:rPr>
          <w:rFonts w:hint="eastAsia" w:ascii="Times New Roman" w:hAnsi="Times New Roman" w:eastAsia="宋体" w:cs="Times New Roman"/>
          <w:iCs/>
          <w:sz w:val="20"/>
          <w:szCs w:val="20"/>
          <w:lang w:val="en-US" w:eastAsia="zh-CN"/>
        </w:rPr>
      </w:pPr>
    </w:p>
    <w:p w14:paraId="5997F599">
      <w:pPr>
        <w:spacing w:after="180" w:line="240" w:lineRule="exact"/>
        <w:rPr>
          <w:rFonts w:hint="eastAsia" w:ascii="Times New Roman" w:hAnsi="Times New Roman" w:eastAsia="等线"/>
          <w:bCs/>
          <w:iCs/>
          <w:sz w:val="20"/>
          <w:szCs w:val="20"/>
          <w:lang w:val="en-US" w:eastAsia="zh-CN"/>
        </w:rPr>
      </w:pPr>
      <w:r>
        <w:rPr>
          <w:rFonts w:hint="default" w:ascii="Times New Roman" w:hAnsi="Times New Roman" w:eastAsia="游明朝" w:cs="Times New Roman"/>
          <w:b w:val="0"/>
          <w:bCs w:val="0"/>
          <w:sz w:val="20"/>
          <w:szCs w:val="20"/>
          <w:lang w:eastAsia="ja-JP"/>
        </w:rPr>
        <w:t>LCM procedures</w:t>
      </w:r>
      <w:r>
        <w:rPr>
          <w:rFonts w:hint="eastAsia" w:ascii="Times New Roman" w:hAnsi="Times New Roman" w:eastAsia="宋体" w:cs="Times New Roman"/>
          <w:b w:val="0"/>
          <w:bCs w:val="0"/>
          <w:sz w:val="20"/>
          <w:szCs w:val="20"/>
          <w:lang w:val="en-US" w:eastAsia="zh-CN"/>
        </w:rPr>
        <w:t xml:space="preserve"> include activation, deactivation, switch, fallback, etc. </w:t>
      </w:r>
      <w:r>
        <w:rPr>
          <w:rFonts w:hint="eastAsia" w:ascii="Times New Roman" w:hAnsi="Times New Roman" w:eastAsia="等线"/>
          <w:bCs/>
          <w:iCs/>
          <w:sz w:val="20"/>
          <w:szCs w:val="20"/>
          <w:lang w:val="en-US" w:eastAsia="zh-CN"/>
        </w:rPr>
        <w:t xml:space="preserve">In Rel-19, it was agreed to deprioritize the discussion on switching and fallback delay requirements and focus on activation/deactivation delay requirement. </w:t>
      </w:r>
      <w:r>
        <w:rPr>
          <w:rFonts w:hint="default" w:ascii="Times New Roman" w:hAnsi="Times New Roman" w:eastAsia="等线"/>
          <w:bCs/>
          <w:iCs/>
          <w:sz w:val="20"/>
          <w:szCs w:val="20"/>
          <w:lang w:val="en-US" w:eastAsia="zh-CN"/>
        </w:rPr>
        <w:t>AI/ML functionality activation refers to the process of enabling an applicable functionality to perform inference</w:t>
      </w:r>
      <w:r>
        <w:rPr>
          <w:rFonts w:hint="eastAsia" w:ascii="Times New Roman" w:hAnsi="Times New Roman" w:eastAsia="等线"/>
          <w:bCs/>
          <w:iCs/>
          <w:sz w:val="20"/>
          <w:szCs w:val="20"/>
          <w:lang w:val="en-US" w:eastAsia="zh-CN"/>
        </w:rPr>
        <w:t>. F</w:t>
      </w:r>
      <w:r>
        <w:rPr>
          <w:rFonts w:hint="default" w:ascii="Times New Roman" w:hAnsi="Times New Roman" w:eastAsia="等线"/>
          <w:bCs/>
          <w:iCs/>
          <w:sz w:val="20"/>
          <w:szCs w:val="20"/>
          <w:lang w:val="en-US" w:eastAsia="zh-CN"/>
        </w:rPr>
        <w:t>unctionality deactivation refers to the process of network deactivating an active functionality</w:t>
      </w:r>
      <w:r>
        <w:rPr>
          <w:rFonts w:hint="eastAsia" w:ascii="Times New Roman" w:hAnsi="Times New Roman" w:eastAsia="等线"/>
          <w:bCs/>
          <w:iCs/>
          <w:sz w:val="20"/>
          <w:szCs w:val="20"/>
          <w:lang w:val="en-US" w:eastAsia="zh-CN"/>
        </w:rPr>
        <w:t>. For CSI compression, it is proposed to follow Rel-19 agreements and firstly focus on activation/deactivation delay requirement.</w:t>
      </w:r>
    </w:p>
    <w:p w14:paraId="467F0743">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For activation part, it was agreed for beam prediction that UE has to be ready to start measurements for inference after sending RRC reconfiguration complete. Inference day will be included in the inference reporting delay. We believe these agreements also apply to CSI prediction, since RAN2 agreed that applicability reporting procedures for CSI prediction are the same as for beam management. However, whether the agreements can be reused for CSI compression with two-sided model need further discuss, since RAN2 design on LCM is not clear</w:t>
      </w:r>
    </w:p>
    <w:p w14:paraId="7643487A">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Similar situation for deactivation procedure. It was agreed in Rel-19 that no need to create deactivation requirements for AI functionality. However, for CSI feedback enhancement (two-sided model) use case, whether  Rel-19 agreements can be reused need further discussion based on RAN2 design</w:t>
      </w:r>
      <w:r>
        <w:rPr>
          <w:rFonts w:hint="eastAsia" w:ascii="Times New Roman" w:hAnsi="Times New Roman" w:cs="Times New Roman"/>
          <w:iCs/>
          <w:sz w:val="20"/>
          <w:szCs w:val="20"/>
          <w:lang w:val="en-US" w:eastAsia="zh-CN"/>
        </w:rPr>
        <w:t>.</w:t>
      </w:r>
    </w:p>
    <w:p w14:paraId="592D7E14">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1: </w:t>
      </w:r>
      <w:r>
        <w:rPr>
          <w:rFonts w:hint="eastAsia" w:ascii="Times New Roman" w:hAnsi="Times New Roman" w:eastAsia="等线"/>
          <w:b/>
          <w:bCs/>
          <w:i/>
          <w:iCs w:val="0"/>
          <w:sz w:val="20"/>
          <w:szCs w:val="20"/>
          <w:lang w:val="en-US" w:eastAsia="zh-CN"/>
        </w:rPr>
        <w:t xml:space="preserve">for CSI feedback enhancement (two-sided model) use case, the </w:t>
      </w:r>
      <w:r>
        <w:rPr>
          <w:rFonts w:hint="eastAsia" w:ascii="Times New Roman" w:hAnsi="Times New Roman" w:eastAsia="等线"/>
          <w:b/>
          <w:bCs w:val="0"/>
          <w:i/>
          <w:iCs w:val="0"/>
          <w:sz w:val="20"/>
          <w:szCs w:val="20"/>
          <w:lang w:val="en-US" w:eastAsia="zh-CN"/>
        </w:rPr>
        <w:t>activation/deactivation delay requirements can be further discussed based on RAN2 design on LCM.</w:t>
      </w:r>
      <w:r>
        <w:rPr>
          <w:rFonts w:hint="eastAsia" w:ascii="Times New Roman" w:hAnsi="Times New Roman" w:eastAsia="等线"/>
          <w:b/>
          <w:bCs/>
          <w:i/>
          <w:iCs w:val="0"/>
          <w:sz w:val="20"/>
          <w:szCs w:val="20"/>
          <w:lang w:val="en-US" w:eastAsia="zh-CN"/>
        </w:rPr>
        <w:t xml:space="preserve"> </w:t>
      </w:r>
      <w:r>
        <w:rPr>
          <w:rFonts w:hint="eastAsia" w:ascii="Times New Roman" w:hAnsi="Times New Roman" w:eastAsia="宋体" w:cs="Times New Roman"/>
          <w:iCs/>
          <w:sz w:val="20"/>
          <w:szCs w:val="20"/>
          <w:lang w:val="en-US" w:eastAsia="zh-CN"/>
        </w:rPr>
        <w:t xml:space="preserve">  </w:t>
      </w:r>
    </w:p>
    <w:p w14:paraId="09559D77">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CSI prediction, the agreement on CSI reporting delay </w:t>
      </w:r>
      <w:r>
        <w:rPr>
          <w:rFonts w:hint="eastAsia" w:ascii="Times New Roman" w:hAnsi="Times New Roman" w:cs="Times New Roman"/>
          <w:iCs/>
          <w:sz w:val="20"/>
          <w:szCs w:val="20"/>
          <w:lang w:val="en-US" w:eastAsia="zh-CN"/>
        </w:rPr>
        <w:t>in</w:t>
      </w:r>
      <w:r>
        <w:rPr>
          <w:rFonts w:hint="eastAsia" w:ascii="Times New Roman" w:hAnsi="Times New Roman" w:eastAsia="宋体" w:cs="Times New Roman"/>
          <w:iCs/>
          <w:sz w:val="20"/>
          <w:szCs w:val="20"/>
          <w:lang w:val="en-US" w:eastAsia="zh-CN"/>
        </w:rPr>
        <w:t xml:space="preserve"> last meeting</w:t>
      </w:r>
      <w:r>
        <w:rPr>
          <w:rFonts w:hint="eastAsia" w:ascii="Times New Roman" w:hAnsi="Times New Roman" w:cs="Times New Roman"/>
          <w:iCs/>
          <w:sz w:val="20"/>
          <w:szCs w:val="20"/>
          <w:lang w:val="en-US" w:eastAsia="zh-CN"/>
        </w:rPr>
        <w:t xml:space="preserve"> </w:t>
      </w:r>
      <w:r>
        <w:rPr>
          <w:rFonts w:hint="eastAsia" w:ascii="Times New Roman" w:hAnsi="Times New Roman" w:eastAsia="宋体" w:cs="Times New Roman"/>
          <w:iCs/>
          <w:sz w:val="20"/>
          <w:szCs w:val="20"/>
          <w:lang w:val="en-US" w:eastAsia="zh-CN"/>
        </w:rPr>
        <w:t xml:space="preserve">is to wait for </w:t>
      </w:r>
      <w:r>
        <w:rPr>
          <w:rFonts w:hint="eastAsia" w:ascii="Times New Roman" w:hAnsi="Times New Roman" w:cs="Times New Roman"/>
          <w:iCs/>
          <w:sz w:val="20"/>
          <w:szCs w:val="20"/>
          <w:lang w:val="en-US" w:eastAsia="zh-CN"/>
        </w:rPr>
        <w:t>RAN1 decision.</w:t>
      </w:r>
      <w:r>
        <w:rPr>
          <w:rFonts w:hint="eastAsia" w:ascii="Times New Roman" w:hAnsi="Times New Roman" w:eastAsia="宋体" w:cs="Times New Roman"/>
          <w:iCs/>
          <w:sz w:val="20"/>
          <w:szCs w:val="20"/>
          <w:lang w:val="en-US" w:eastAsia="zh-CN"/>
        </w:rPr>
        <w:t xml:space="preserve"> In RAN1 #121 meeting, it was agreed that for CSI prediction using UE-side model, for inference, in addition to legacy Z/Z’ for doppler codebook, UE may report the value of t per SCS. Based on RAN1 agreements, the inference reporting delay shall be at least legacy Z/Z</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plus t, t is reported by UE. </w:t>
      </w:r>
    </w:p>
    <w:p w14:paraId="27890840">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For Beam prediction, for aperiodic report, the overall prediction reporting delay at least includes measurement delay +reporting delay, and the reporting delay includes the inference delay. For semi-persistent and periodic report, the overall prediction reporting delay at least includes measurement delay +inference delay+time for the first available reporting occasion.</w:t>
      </w:r>
    </w:p>
    <w:p w14:paraId="6F4B782E">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positioning case 1, it is agreed to define reporting delay requirements, and the reporting delay includes measurement delay, inference delay and the time needed until the UE send the report </w:t>
      </w:r>
    </w:p>
    <w:p w14:paraId="5B17B8B9">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 xml:space="preserve">For CSI compression case 0, </w:t>
      </w:r>
      <w:r>
        <w:rPr>
          <w:rFonts w:hint="eastAsia" w:ascii="Times New Roman" w:hAnsi="Times New Roman" w:eastAsia="宋体" w:cs="Times New Roman"/>
          <w:iCs/>
          <w:sz w:val="20"/>
          <w:szCs w:val="20"/>
          <w:lang w:val="en-US" w:eastAsia="zh-CN"/>
        </w:rPr>
        <w:t>CSI reporting delay</w:t>
      </w:r>
      <w:r>
        <w:rPr>
          <w:rFonts w:hint="eastAsia" w:ascii="Times New Roman" w:hAnsi="Times New Roman" w:cs="Times New Roman"/>
          <w:iCs/>
          <w:sz w:val="20"/>
          <w:szCs w:val="20"/>
          <w:lang w:val="en-US" w:eastAsia="zh-CN"/>
        </w:rPr>
        <w:t xml:space="preserve"> requirements can be considered</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But the details are pending on RAN1 design.</w:t>
      </w:r>
    </w:p>
    <w:p w14:paraId="3F755D5A">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2: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val="0"/>
          <w:sz w:val="20"/>
          <w:szCs w:val="20"/>
          <w:lang w:val="en-US" w:eastAsia="zh-CN"/>
        </w:rPr>
        <w:t xml:space="preserve">, the prediction reporting delay can be further discussed. </w:t>
      </w:r>
      <w:r>
        <w:rPr>
          <w:rFonts w:hint="eastAsia" w:ascii="Times New Roman" w:hAnsi="Times New Roman" w:eastAsia="宋体" w:cs="Times New Roman"/>
          <w:b/>
          <w:bCs/>
          <w:i/>
          <w:iCs w:val="0"/>
          <w:sz w:val="20"/>
          <w:szCs w:val="20"/>
          <w:lang w:val="en-US" w:eastAsia="zh-CN"/>
        </w:rPr>
        <w:t xml:space="preserve"> </w:t>
      </w:r>
    </w:p>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7"/>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14"/>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14"/>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15"/>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15"/>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16"/>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16"/>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8"/>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8"/>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9"/>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7"/>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7"/>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22"/>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22"/>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7"/>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7"/>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23"/>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24"/>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24"/>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7"/>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50907471">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2C7DD0A5">
      <w:pPr>
        <w:spacing w:after="180" w:line="240" w:lineRule="exact"/>
        <w:rPr>
          <w:rFonts w:hint="default" w:ascii="Times New Roman" w:hAnsi="Times New Roman" w:eastAsia="宋体" w:cs="Times New Roman"/>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6CC36AD5">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1: </w:t>
      </w:r>
      <w:r>
        <w:rPr>
          <w:rFonts w:hint="eastAsia" w:ascii="Times New Roman" w:hAnsi="Times New Roman" w:eastAsia="等线"/>
          <w:b/>
          <w:bCs/>
          <w:i/>
          <w:iCs w:val="0"/>
          <w:sz w:val="20"/>
          <w:szCs w:val="20"/>
          <w:lang w:val="en-US" w:eastAsia="zh-CN"/>
        </w:rPr>
        <w:t xml:space="preserve">for CSI feedback enhancement (two-sided model) use case, the </w:t>
      </w:r>
      <w:r>
        <w:rPr>
          <w:rFonts w:hint="eastAsia" w:ascii="Times New Roman" w:hAnsi="Times New Roman" w:eastAsia="等线"/>
          <w:b/>
          <w:bCs w:val="0"/>
          <w:i/>
          <w:iCs w:val="0"/>
          <w:sz w:val="20"/>
          <w:szCs w:val="20"/>
          <w:lang w:val="en-US" w:eastAsia="zh-CN"/>
        </w:rPr>
        <w:t>activation/deactivation delay requirements can be further discussed based on RAN2 design on LCM.</w:t>
      </w:r>
      <w:r>
        <w:rPr>
          <w:rFonts w:hint="eastAsia" w:ascii="Times New Roman" w:hAnsi="Times New Roman" w:eastAsia="等线"/>
          <w:b/>
          <w:bCs/>
          <w:i/>
          <w:iCs w:val="0"/>
          <w:sz w:val="20"/>
          <w:szCs w:val="20"/>
          <w:lang w:val="en-US" w:eastAsia="zh-CN"/>
        </w:rPr>
        <w:t xml:space="preserve"> </w:t>
      </w:r>
      <w:r>
        <w:rPr>
          <w:rFonts w:hint="eastAsia" w:ascii="Times New Roman" w:hAnsi="Times New Roman" w:eastAsia="宋体" w:cs="Times New Roman"/>
          <w:iCs/>
          <w:sz w:val="20"/>
          <w:szCs w:val="20"/>
          <w:lang w:val="en-US" w:eastAsia="zh-CN"/>
        </w:rPr>
        <w:t xml:space="preserve">  </w:t>
      </w:r>
    </w:p>
    <w:p w14:paraId="0A6D26E9">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2: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val="0"/>
          <w:sz w:val="20"/>
          <w:szCs w:val="20"/>
          <w:lang w:val="en-US" w:eastAsia="zh-CN"/>
        </w:rPr>
        <w:t xml:space="preserve">, the prediction reporting delay can be further discussed. </w:t>
      </w:r>
      <w:r>
        <w:rPr>
          <w:rFonts w:hint="eastAsia" w:ascii="Times New Roman" w:hAnsi="Times New Roman" w:eastAsia="宋体" w:cs="Times New Roman"/>
          <w:b/>
          <w:bCs/>
          <w:i/>
          <w:iCs w:val="0"/>
          <w:sz w:val="20"/>
          <w:szCs w:val="20"/>
          <w:lang w:val="en-US" w:eastAsia="zh-CN"/>
        </w:rPr>
        <w:t xml:space="preserve"> </w:t>
      </w:r>
    </w:p>
    <w:p w14:paraId="46FAE951">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183C6BE3">
      <w:pPr>
        <w:spacing w:after="180" w:line="240" w:lineRule="exact"/>
        <w:rPr>
          <w:rFonts w:hint="eastAsia" w:ascii="Times New Roman" w:hAnsi="Times New Roman" w:eastAsia="等线"/>
          <w:b/>
          <w:bCs/>
          <w:i/>
          <w:iCs/>
          <w:sz w:val="20"/>
          <w:szCs w:val="20"/>
          <w:lang w:val="en-US" w:eastAsia="zh-CN"/>
        </w:rPr>
      </w:pPr>
      <w:bookmarkStart w:id="8" w:name="_GoBack"/>
      <w:bookmarkEnd w:id="8"/>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0C405AEC">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3C63F738">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1791BBB">
      <w:pPr>
        <w:pStyle w:val="17"/>
        <w:framePr w:wrap="auto" w:vAnchor="margin" w:hAnchor="text" w:yAlign="inline"/>
        <w:numPr>
          <w:ilvl w:val="0"/>
          <w:numId w:val="2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2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24950C8"/>
    <w:multiLevelType w:val="multilevel"/>
    <w:tmpl w:val="024950C8"/>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3">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0392B70"/>
    <w:multiLevelType w:val="multilevel"/>
    <w:tmpl w:val="30392B70"/>
    <w:lvl w:ilvl="0" w:tentative="0">
      <w:start w:val="1"/>
      <w:numFmt w:val="bullet"/>
      <w:lvlText w:val=""/>
      <w:lvlJc w:val="left"/>
      <w:pPr>
        <w:ind w:left="644" w:hanging="360"/>
      </w:pPr>
      <w:rPr>
        <w:rFonts w:hint="default" w:ascii="Symbol" w:hAnsi="Symbol"/>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ED43156"/>
    <w:multiLevelType w:val="multilevel"/>
    <w:tmpl w:val="5ED431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1">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2"/>
  </w:num>
  <w:num w:numId="2">
    <w:abstractNumId w:val="11"/>
  </w:num>
  <w:num w:numId="3">
    <w:abstractNumId w:val="7"/>
  </w:num>
  <w:num w:numId="4">
    <w:abstractNumId w:val="14"/>
  </w:num>
  <w:num w:numId="5">
    <w:abstractNumId w:val="8"/>
  </w:num>
  <w:num w:numId="6">
    <w:abstractNumId w:val="23"/>
  </w:num>
  <w:num w:numId="7">
    <w:abstractNumId w:val="15"/>
  </w:num>
  <w:num w:numId="8">
    <w:abstractNumId w:val="17"/>
  </w:num>
  <w:num w:numId="9">
    <w:abstractNumId w:val="2"/>
  </w:num>
  <w:num w:numId="10">
    <w:abstractNumId w:val="9"/>
  </w:num>
  <w:num w:numId="11">
    <w:abstractNumId w:val="1"/>
  </w:num>
  <w:num w:numId="12">
    <w:abstractNumId w:val="4"/>
  </w:num>
  <w:num w:numId="13">
    <w:abstractNumId w:val="21"/>
  </w:num>
  <w:num w:numId="14">
    <w:abstractNumId w:val="16"/>
  </w:num>
  <w:num w:numId="15">
    <w:abstractNumId w:val="24"/>
  </w:num>
  <w:num w:numId="16">
    <w:abstractNumId w:val="6"/>
  </w:num>
  <w:num w:numId="17">
    <w:abstractNumId w:val="3"/>
  </w:num>
  <w:num w:numId="18">
    <w:abstractNumId w:val="10"/>
  </w:num>
  <w:num w:numId="19">
    <w:abstractNumId w:val="5"/>
  </w:num>
  <w:num w:numId="20">
    <w:abstractNumId w:val="12"/>
  </w:num>
  <w:num w:numId="21">
    <w:abstractNumId w:val="19"/>
  </w:num>
  <w:num w:numId="22">
    <w:abstractNumId w:val="18"/>
  </w:num>
  <w:num w:numId="23">
    <w:abstractNumId w:val="13"/>
  </w:num>
  <w:num w:numId="24">
    <w:abstractNumId w:val="2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967F0A"/>
    <w:rsid w:val="16C20D68"/>
    <w:rsid w:val="172129C2"/>
    <w:rsid w:val="17DC5D08"/>
    <w:rsid w:val="17EE3251"/>
    <w:rsid w:val="1869036D"/>
    <w:rsid w:val="18C26AAD"/>
    <w:rsid w:val="19D35C0A"/>
    <w:rsid w:val="1A4B52AF"/>
    <w:rsid w:val="1B097409"/>
    <w:rsid w:val="1B8C2C7D"/>
    <w:rsid w:val="1BDE38AF"/>
    <w:rsid w:val="1C79747B"/>
    <w:rsid w:val="1F6E7590"/>
    <w:rsid w:val="20576A8F"/>
    <w:rsid w:val="21A25EC1"/>
    <w:rsid w:val="21CD1190"/>
    <w:rsid w:val="22C91E20"/>
    <w:rsid w:val="239448A4"/>
    <w:rsid w:val="245C2C9F"/>
    <w:rsid w:val="24BB4727"/>
    <w:rsid w:val="250671CD"/>
    <w:rsid w:val="25830931"/>
    <w:rsid w:val="259C54CD"/>
    <w:rsid w:val="26944BFD"/>
    <w:rsid w:val="27BB3844"/>
    <w:rsid w:val="295E6B72"/>
    <w:rsid w:val="2DD14D37"/>
    <w:rsid w:val="2EC43DB8"/>
    <w:rsid w:val="2F424C69"/>
    <w:rsid w:val="308E7578"/>
    <w:rsid w:val="309A667E"/>
    <w:rsid w:val="311F0FAA"/>
    <w:rsid w:val="3159659D"/>
    <w:rsid w:val="31C72739"/>
    <w:rsid w:val="32420EA7"/>
    <w:rsid w:val="3295408B"/>
    <w:rsid w:val="36311397"/>
    <w:rsid w:val="36915B95"/>
    <w:rsid w:val="36D5158E"/>
    <w:rsid w:val="372F00FC"/>
    <w:rsid w:val="397B647A"/>
    <w:rsid w:val="39DC502A"/>
    <w:rsid w:val="3A2D7A1A"/>
    <w:rsid w:val="3A692ADF"/>
    <w:rsid w:val="3A923B26"/>
    <w:rsid w:val="3ACA3C80"/>
    <w:rsid w:val="3ADD5C61"/>
    <w:rsid w:val="3B8E7980"/>
    <w:rsid w:val="3CA05E05"/>
    <w:rsid w:val="3D0535AB"/>
    <w:rsid w:val="3DEB4836"/>
    <w:rsid w:val="3DEF01B7"/>
    <w:rsid w:val="3FB76397"/>
    <w:rsid w:val="402E3A57"/>
    <w:rsid w:val="40905E46"/>
    <w:rsid w:val="41C815FA"/>
    <w:rsid w:val="43FC159A"/>
    <w:rsid w:val="45185DAE"/>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F234726"/>
    <w:rsid w:val="519613CC"/>
    <w:rsid w:val="5217567C"/>
    <w:rsid w:val="53AA57A5"/>
    <w:rsid w:val="549E0D64"/>
    <w:rsid w:val="54BF2CB9"/>
    <w:rsid w:val="563034C0"/>
    <w:rsid w:val="566930C6"/>
    <w:rsid w:val="56F77C07"/>
    <w:rsid w:val="57B0086C"/>
    <w:rsid w:val="585844FD"/>
    <w:rsid w:val="5879537F"/>
    <w:rsid w:val="59034374"/>
    <w:rsid w:val="5999038C"/>
    <w:rsid w:val="5A715FC6"/>
    <w:rsid w:val="5AC558FB"/>
    <w:rsid w:val="5AC66592"/>
    <w:rsid w:val="5B2B0B23"/>
    <w:rsid w:val="5CBC141D"/>
    <w:rsid w:val="5D0B4E13"/>
    <w:rsid w:val="5DE0757A"/>
    <w:rsid w:val="5DE63D68"/>
    <w:rsid w:val="5E145FE7"/>
    <w:rsid w:val="5E2B562E"/>
    <w:rsid w:val="5E47553D"/>
    <w:rsid w:val="5E6261E1"/>
    <w:rsid w:val="5EC3209F"/>
    <w:rsid w:val="5ED80E84"/>
    <w:rsid w:val="62A95749"/>
    <w:rsid w:val="62D046AC"/>
    <w:rsid w:val="62EE1251"/>
    <w:rsid w:val="634877EE"/>
    <w:rsid w:val="644D521F"/>
    <w:rsid w:val="65674A25"/>
    <w:rsid w:val="67695C6E"/>
    <w:rsid w:val="68CA01FA"/>
    <w:rsid w:val="69567192"/>
    <w:rsid w:val="6A3A3665"/>
    <w:rsid w:val="6A52659E"/>
    <w:rsid w:val="6B870356"/>
    <w:rsid w:val="6BE35B73"/>
    <w:rsid w:val="6C2143D4"/>
    <w:rsid w:val="6CCE4B92"/>
    <w:rsid w:val="6D026C8E"/>
    <w:rsid w:val="6D092287"/>
    <w:rsid w:val="6D205895"/>
    <w:rsid w:val="6D7E0FF0"/>
    <w:rsid w:val="6DF758F9"/>
    <w:rsid w:val="720D5752"/>
    <w:rsid w:val="731743ED"/>
    <w:rsid w:val="740D27BD"/>
    <w:rsid w:val="74126C56"/>
    <w:rsid w:val="74C23D1D"/>
    <w:rsid w:val="75886832"/>
    <w:rsid w:val="773771F4"/>
    <w:rsid w:val="79263F52"/>
    <w:rsid w:val="7AA34743"/>
    <w:rsid w:val="7AC06311"/>
    <w:rsid w:val="7B421678"/>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